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E1C15" w14:textId="733F5314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F12B1D">
        <w:rPr>
          <w:lang w:val="en-US"/>
        </w:rPr>
        <w:t>4</w:t>
      </w:r>
      <w:bookmarkStart w:id="0" w:name="_GoBack"/>
      <w:bookmarkEnd w:id="0"/>
      <w:r w:rsidRPr="00DE3FC8">
        <w:rPr>
          <w:lang w:val="en-US"/>
        </w:rPr>
        <w:tab/>
      </w:r>
      <w:r w:rsidR="003C71C7" w:rsidRPr="003C71C7">
        <w:rPr>
          <w:sz w:val="32"/>
          <w:szCs w:val="32"/>
          <w:lang w:val="en-US"/>
        </w:rPr>
        <w:t>R2-1818428</w:t>
      </w:r>
    </w:p>
    <w:p w14:paraId="2A08324A" w14:textId="77777777" w:rsidR="006255E7" w:rsidRDefault="00F12B1D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F12B1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p w14:paraId="177E0080" w14:textId="77777777" w:rsidR="00E90E49" w:rsidRPr="00CE0424" w:rsidRDefault="00E90E49" w:rsidP="00357380">
      <w:pPr>
        <w:pStyle w:val="3GPPHeader"/>
      </w:pPr>
    </w:p>
    <w:p w14:paraId="57E5EA24" w14:textId="77777777" w:rsidR="00E90E49" w:rsidRPr="003C71C7" w:rsidRDefault="00E90E49" w:rsidP="00311702">
      <w:pPr>
        <w:pStyle w:val="3GPPHeader"/>
        <w:rPr>
          <w:sz w:val="22"/>
          <w:szCs w:val="22"/>
          <w:lang w:val="en-CA"/>
        </w:rPr>
      </w:pPr>
      <w:r w:rsidRPr="003C71C7">
        <w:rPr>
          <w:sz w:val="22"/>
          <w:szCs w:val="22"/>
          <w:lang w:val="en-CA"/>
        </w:rPr>
        <w:t>Agenda Item:</w:t>
      </w:r>
      <w:r w:rsidRPr="003C71C7">
        <w:rPr>
          <w:sz w:val="22"/>
          <w:szCs w:val="22"/>
          <w:lang w:val="en-CA"/>
        </w:rPr>
        <w:tab/>
      </w:r>
      <w:r w:rsidR="007A39BA" w:rsidRPr="003C71C7">
        <w:rPr>
          <w:sz w:val="22"/>
          <w:szCs w:val="22"/>
          <w:lang w:val="en-CA"/>
        </w:rPr>
        <w:t>7.1</w:t>
      </w:r>
    </w:p>
    <w:p w14:paraId="2A54576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0A9A240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27D34">
        <w:rPr>
          <w:sz w:val="22"/>
          <w:szCs w:val="22"/>
        </w:rPr>
        <w:t>Paging configurations and fractional nB value</w:t>
      </w:r>
    </w:p>
    <w:p w14:paraId="06C21B9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A39BA">
        <w:rPr>
          <w:sz w:val="22"/>
          <w:szCs w:val="22"/>
        </w:rPr>
        <w:t>Discussion, Decision</w:t>
      </w:r>
    </w:p>
    <w:p w14:paraId="5FA91505" w14:textId="77777777" w:rsidR="00E90E49" w:rsidRPr="00CE0424" w:rsidRDefault="00E90E49" w:rsidP="00E90E49"/>
    <w:p w14:paraId="749849C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7D66BAE" w14:textId="6687CCE3" w:rsidR="00A45FAA" w:rsidRPr="00A45FAA" w:rsidRDefault="00D2264F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Calibri" w:hAnsi="Arial" w:cs="Arial"/>
          <w:szCs w:val="22"/>
          <w:lang w:eastAsia="en-US"/>
        </w:rPr>
      </w:pPr>
      <w:r w:rsidRPr="00D2264F">
        <w:rPr>
          <w:rFonts w:ascii="Arial" w:eastAsia="Calibri" w:hAnsi="Arial" w:cs="Arial"/>
          <w:szCs w:val="22"/>
          <w:lang w:val="en-CA" w:eastAsia="en-US"/>
        </w:rPr>
        <w:t xml:space="preserve">In </w:t>
      </w:r>
      <w:r w:rsidRPr="00A45FAA">
        <w:rPr>
          <w:rFonts w:ascii="Arial" w:eastAsia="Calibri" w:hAnsi="Arial" w:cs="Arial"/>
          <w:szCs w:val="22"/>
          <w:lang w:val="en-CA" w:eastAsia="en-US"/>
        </w:rPr>
        <w:t xml:space="preserve">RAN2#103bis, </w:t>
      </w:r>
      <w:r w:rsidR="001439ED" w:rsidRPr="00A45FAA">
        <w:rPr>
          <w:rFonts w:ascii="Arial" w:eastAsia="Calibri" w:hAnsi="Arial" w:cs="Arial"/>
          <w:szCs w:val="22"/>
          <w:lang w:val="en-CA" w:eastAsia="en-US"/>
        </w:rPr>
        <w:t xml:space="preserve">an issue was brought up in [1] regarding </w:t>
      </w:r>
      <w:r w:rsidR="00A45FAA" w:rsidRPr="00A45FAA">
        <w:rPr>
          <w:rFonts w:ascii="Arial" w:eastAsia="Calibri" w:hAnsi="Arial" w:cs="Arial"/>
          <w:szCs w:val="22"/>
          <w:lang w:val="en-CA" w:eastAsia="en-US"/>
        </w:rPr>
        <w:t xml:space="preserve">how to </w:t>
      </w:r>
      <w:r w:rsidR="001439ED" w:rsidRPr="00A45FAA">
        <w:rPr>
          <w:rFonts w:ascii="Arial" w:eastAsia="Calibri" w:hAnsi="Arial" w:cs="Arial"/>
          <w:szCs w:val="22"/>
          <w:lang w:val="en-CA" w:eastAsia="en-US"/>
        </w:rPr>
        <w:t>configur</w:t>
      </w:r>
      <w:r w:rsidR="00A45FAA" w:rsidRPr="00A45FAA">
        <w:rPr>
          <w:rFonts w:ascii="Arial" w:eastAsia="Calibri" w:hAnsi="Arial" w:cs="Arial"/>
          <w:szCs w:val="22"/>
          <w:lang w:val="en-CA" w:eastAsia="en-US"/>
        </w:rPr>
        <w:t xml:space="preserve">e the network </w:t>
      </w:r>
      <w:r w:rsidR="001439ED" w:rsidRPr="00A45FAA">
        <w:rPr>
          <w:rFonts w:ascii="Arial" w:eastAsia="Calibri" w:hAnsi="Arial" w:cs="Arial"/>
          <w:szCs w:val="22"/>
          <w:lang w:val="en-CA" w:eastAsia="en-US"/>
        </w:rPr>
        <w:t xml:space="preserve">for paging. </w:t>
      </w:r>
      <w:r w:rsidRPr="00D2264F">
        <w:rPr>
          <w:rFonts w:ascii="Arial" w:eastAsia="Calibri" w:hAnsi="Arial" w:cs="Arial"/>
          <w:szCs w:val="22"/>
          <w:lang w:val="en-CA" w:eastAsia="en-US"/>
        </w:rPr>
        <w:t xml:space="preserve">RAN2 </w:t>
      </w:r>
      <w:r w:rsidR="001439ED" w:rsidRPr="00A45FAA">
        <w:rPr>
          <w:rFonts w:ascii="Arial" w:eastAsia="Calibri" w:hAnsi="Arial" w:cs="Arial"/>
          <w:szCs w:val="22"/>
          <w:lang w:val="en-CA" w:eastAsia="en-US"/>
        </w:rPr>
        <w:t xml:space="preserve">discussed and </w:t>
      </w:r>
      <w:r w:rsidRPr="00D2264F">
        <w:rPr>
          <w:rFonts w:ascii="Arial" w:eastAsia="Calibri" w:hAnsi="Arial" w:cs="Arial"/>
          <w:szCs w:val="22"/>
          <w:lang w:val="en-CA" w:eastAsia="en-US"/>
        </w:rPr>
        <w:t>concluded that further discussion is required to address th</w:t>
      </w:r>
      <w:r w:rsidR="00A45FAA" w:rsidRPr="00A45FAA">
        <w:rPr>
          <w:rFonts w:ascii="Arial" w:eastAsia="Calibri" w:hAnsi="Arial" w:cs="Arial"/>
          <w:szCs w:val="22"/>
          <w:lang w:val="en-CA" w:eastAsia="en-US"/>
        </w:rPr>
        <w:t>e</w:t>
      </w:r>
      <w:r w:rsidRPr="00D2264F">
        <w:rPr>
          <w:rFonts w:ascii="Arial" w:eastAsia="Calibri" w:hAnsi="Arial" w:cs="Arial"/>
          <w:szCs w:val="22"/>
          <w:lang w:val="en-CA" w:eastAsia="en-US"/>
        </w:rPr>
        <w:t xml:space="preserve"> problem. </w:t>
      </w:r>
      <w:r w:rsidR="00A45FAA" w:rsidRPr="00A45FAA">
        <w:rPr>
          <w:rFonts w:ascii="Arial" w:eastAsia="Calibri" w:hAnsi="Arial" w:cs="Arial"/>
          <w:szCs w:val="22"/>
          <w:lang w:val="en-CA" w:eastAsia="en-US"/>
        </w:rPr>
        <w:t xml:space="preserve">However, the problem </w:t>
      </w:r>
      <w:r w:rsidRPr="00D2264F">
        <w:rPr>
          <w:rFonts w:ascii="Arial" w:eastAsia="Calibri" w:hAnsi="Arial" w:cs="Arial"/>
          <w:szCs w:val="22"/>
          <w:lang w:val="en-CA" w:eastAsia="en-US"/>
        </w:rPr>
        <w:t xml:space="preserve">was acknowledged </w:t>
      </w:r>
      <w:r w:rsidR="00A45FAA" w:rsidRPr="00A45FAA">
        <w:rPr>
          <w:rFonts w:ascii="Arial" w:eastAsia="Calibri" w:hAnsi="Arial" w:cs="Arial"/>
          <w:szCs w:val="22"/>
          <w:lang w:val="en-CA" w:eastAsia="en-US"/>
        </w:rPr>
        <w:t xml:space="preserve">as </w:t>
      </w:r>
      <w:r w:rsidRPr="00D2264F">
        <w:rPr>
          <w:rFonts w:ascii="Arial" w:eastAsia="Calibri" w:hAnsi="Arial" w:cs="Arial"/>
          <w:szCs w:val="22"/>
          <w:lang w:eastAsia="en-US"/>
        </w:rPr>
        <w:t>there may be some configurations</w:t>
      </w:r>
      <w:r w:rsidR="00A45FAA" w:rsidRPr="00A45FAA">
        <w:rPr>
          <w:rFonts w:ascii="Arial" w:eastAsia="Calibri" w:hAnsi="Arial" w:cs="Arial"/>
          <w:szCs w:val="22"/>
          <w:lang w:eastAsia="en-US"/>
        </w:rPr>
        <w:t xml:space="preserve"> for paging which </w:t>
      </w:r>
      <w:r w:rsidRPr="00D2264F">
        <w:rPr>
          <w:rFonts w:ascii="Arial" w:eastAsia="Calibri" w:hAnsi="Arial" w:cs="Arial"/>
          <w:szCs w:val="22"/>
          <w:lang w:eastAsia="en-US"/>
        </w:rPr>
        <w:t xml:space="preserve">would not work as intended and </w:t>
      </w:r>
      <w:r w:rsidR="00A45FAA" w:rsidRPr="00A45FAA">
        <w:rPr>
          <w:rFonts w:ascii="Arial" w:eastAsia="Calibri" w:hAnsi="Arial" w:cs="Arial"/>
          <w:szCs w:val="22"/>
          <w:lang w:eastAsia="en-US"/>
        </w:rPr>
        <w:t xml:space="preserve">thus </w:t>
      </w:r>
      <w:r w:rsidRPr="00D2264F">
        <w:rPr>
          <w:rFonts w:ascii="Arial" w:eastAsia="Calibri" w:hAnsi="Arial" w:cs="Arial"/>
          <w:szCs w:val="22"/>
          <w:lang w:eastAsia="en-US"/>
        </w:rPr>
        <w:t xml:space="preserve">lead to ambiguous UE behaviour. </w:t>
      </w:r>
      <w:r w:rsidR="00A45FAA">
        <w:rPr>
          <w:rFonts w:ascii="Arial" w:eastAsia="Calibri" w:hAnsi="Arial" w:cs="Arial"/>
          <w:szCs w:val="22"/>
          <w:lang w:eastAsia="en-US"/>
        </w:rPr>
        <w:t>In this contribution, the problem is described, alternatives for the solution are discussed and a way forward is proposed.</w:t>
      </w:r>
    </w:p>
    <w:p w14:paraId="7DB906D7" w14:textId="77777777" w:rsidR="00A45FAA" w:rsidRDefault="00A45FAA" w:rsidP="001439ED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C6E6BD6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1D8D956" w14:textId="0BF2BF04" w:rsidR="005F78EE" w:rsidRPr="005F78EE" w:rsidRDefault="005F78EE" w:rsidP="005F78EE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zh-CN"/>
        </w:rPr>
      </w:pPr>
      <w:r w:rsidRPr="005F78EE">
        <w:rPr>
          <w:rFonts w:ascii="Arial" w:eastAsia="MS Mincho" w:hAnsi="Arial" w:cs="Arial"/>
          <w:lang w:eastAsia="zh-CN"/>
        </w:rPr>
        <w:t>One P</w:t>
      </w:r>
      <w:r w:rsidRPr="005F78EE">
        <w:rPr>
          <w:rFonts w:ascii="Arial" w:eastAsia="SimSun" w:hAnsi="Arial" w:cs="Arial"/>
          <w:lang w:eastAsia="zh-CN"/>
        </w:rPr>
        <w:t>aging Occasion</w:t>
      </w:r>
      <w:r w:rsidRPr="005F78EE">
        <w:rPr>
          <w:rFonts w:ascii="Arial" w:eastAsia="MS Mincho" w:hAnsi="Arial" w:cs="Arial"/>
          <w:lang w:eastAsia="zh-CN"/>
        </w:rPr>
        <w:t xml:space="preserve"> (PO) is a subframe where there may be P-RNTI transmitted on MPDCCH</w:t>
      </w:r>
      <w:r w:rsidR="008F5293" w:rsidRPr="008F5293">
        <w:rPr>
          <w:rFonts w:ascii="Arial" w:eastAsia="MS Mincho" w:hAnsi="Arial" w:cs="Arial"/>
          <w:lang w:eastAsia="zh-CN"/>
        </w:rPr>
        <w:t>, whereas o</w:t>
      </w:r>
      <w:r w:rsidRPr="005F78EE">
        <w:rPr>
          <w:rFonts w:ascii="Arial" w:eastAsia="MS Mincho" w:hAnsi="Arial" w:cs="Arial"/>
          <w:lang w:eastAsia="zh-CN"/>
        </w:rPr>
        <w:t>ne P</w:t>
      </w:r>
      <w:r w:rsidRPr="005F78EE">
        <w:rPr>
          <w:rFonts w:ascii="Arial" w:eastAsia="SimSun" w:hAnsi="Arial" w:cs="Arial"/>
          <w:lang w:eastAsia="zh-CN"/>
        </w:rPr>
        <w:t xml:space="preserve">aging Frame </w:t>
      </w:r>
      <w:r w:rsidRPr="005F78EE">
        <w:rPr>
          <w:rFonts w:ascii="Arial" w:eastAsia="MS Mincho" w:hAnsi="Arial" w:cs="Arial"/>
          <w:lang w:eastAsia="zh-CN"/>
        </w:rPr>
        <w:t>(P</w:t>
      </w:r>
      <w:r w:rsidRPr="005F78EE">
        <w:rPr>
          <w:rFonts w:ascii="Arial" w:eastAsia="SimSun" w:hAnsi="Arial" w:cs="Arial"/>
          <w:lang w:eastAsia="zh-CN"/>
        </w:rPr>
        <w:t>F</w:t>
      </w:r>
      <w:r w:rsidRPr="005F78EE">
        <w:rPr>
          <w:rFonts w:ascii="Arial" w:eastAsia="MS Mincho" w:hAnsi="Arial" w:cs="Arial"/>
          <w:lang w:eastAsia="zh-CN"/>
        </w:rPr>
        <w:t>) is one Radio Frame, which may contain one or multiple Paging</w:t>
      </w:r>
      <w:r w:rsidRPr="005F78EE">
        <w:rPr>
          <w:rFonts w:ascii="Arial" w:eastAsia="SimSun" w:hAnsi="Arial" w:cs="Arial"/>
          <w:lang w:eastAsia="zh-CN"/>
        </w:rPr>
        <w:t xml:space="preserve"> Occasion(</w:t>
      </w:r>
      <w:r w:rsidRPr="005F78EE">
        <w:rPr>
          <w:rFonts w:ascii="Arial" w:eastAsia="MS Mincho" w:hAnsi="Arial" w:cs="Arial"/>
          <w:lang w:eastAsia="zh-CN"/>
        </w:rPr>
        <w:t>s)</w:t>
      </w:r>
      <w:r w:rsidRPr="005F78EE">
        <w:rPr>
          <w:rFonts w:ascii="Arial" w:eastAsia="MS Mincho" w:hAnsi="Arial" w:cs="Arial"/>
          <w:lang w:eastAsia="en-US"/>
        </w:rPr>
        <w:t xml:space="preserve">. When DRX is used the UE needs to monitor </w:t>
      </w:r>
      <w:r w:rsidR="00D65F5D">
        <w:rPr>
          <w:rFonts w:ascii="Arial" w:eastAsia="MS Mincho" w:hAnsi="Arial" w:cs="Arial"/>
          <w:lang w:eastAsia="en-US"/>
        </w:rPr>
        <w:t xml:space="preserve">only </w:t>
      </w:r>
      <w:r w:rsidRPr="005F78EE">
        <w:rPr>
          <w:rFonts w:ascii="Arial" w:eastAsia="MS Mincho" w:hAnsi="Arial" w:cs="Arial"/>
          <w:lang w:eastAsia="en-US"/>
        </w:rPr>
        <w:t>one PO per DRX cycle.</w:t>
      </w:r>
      <w:r w:rsidR="008F5293" w:rsidRPr="008F5293">
        <w:rPr>
          <w:rFonts w:ascii="Arial" w:eastAsia="MS Mincho" w:hAnsi="Arial" w:cs="Arial"/>
          <w:lang w:eastAsia="en-US"/>
        </w:rPr>
        <w:t xml:space="preserve"> O</w:t>
      </w:r>
      <w:r w:rsidRPr="005F78EE">
        <w:rPr>
          <w:rFonts w:ascii="Arial" w:eastAsia="MS Mincho" w:hAnsi="Arial" w:cs="Arial"/>
          <w:lang w:eastAsia="zh-CN"/>
        </w:rPr>
        <w:t xml:space="preserve">ne Paging Narrowband (PNB) is one narrowband, </w:t>
      </w:r>
      <w:r w:rsidRPr="005F78EE">
        <w:rPr>
          <w:rFonts w:ascii="Arial" w:eastAsia="MS Mincho" w:hAnsi="Arial" w:cs="Arial"/>
          <w:lang w:eastAsia="en-US"/>
        </w:rPr>
        <w:t xml:space="preserve">on which the UE performs the </w:t>
      </w:r>
      <w:r w:rsidRPr="005F78EE">
        <w:rPr>
          <w:rFonts w:ascii="Arial" w:eastAsia="MS Mincho" w:hAnsi="Arial" w:cs="Arial"/>
          <w:lang w:eastAsia="zh-CN"/>
        </w:rPr>
        <w:t>p</w:t>
      </w:r>
      <w:r w:rsidRPr="005F78EE">
        <w:rPr>
          <w:rFonts w:ascii="Arial" w:eastAsia="MS Mincho" w:hAnsi="Arial" w:cs="Arial"/>
          <w:lang w:eastAsia="en-US"/>
        </w:rPr>
        <w:t>aging message reception</w:t>
      </w:r>
      <w:r w:rsidRPr="005F78EE">
        <w:rPr>
          <w:rFonts w:ascii="Arial" w:eastAsia="MS Mincho" w:hAnsi="Arial" w:cs="Arial"/>
          <w:lang w:eastAsia="zh-CN"/>
        </w:rPr>
        <w:t>.</w:t>
      </w:r>
    </w:p>
    <w:p w14:paraId="47168262" w14:textId="6B9DCAF6" w:rsidR="005F78EE" w:rsidRPr="005F78EE" w:rsidRDefault="005F78EE" w:rsidP="005F78EE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en-US"/>
        </w:rPr>
      </w:pPr>
      <w:r w:rsidRPr="005F78EE">
        <w:rPr>
          <w:rFonts w:ascii="Arial" w:eastAsia="MS Mincho" w:hAnsi="Arial" w:cs="Arial"/>
          <w:lang w:eastAsia="en-US"/>
        </w:rPr>
        <w:t>PF</w:t>
      </w:r>
      <w:r w:rsidRPr="005F78EE">
        <w:rPr>
          <w:rFonts w:ascii="Arial" w:eastAsia="MS Mincho" w:hAnsi="Arial" w:cs="Arial"/>
          <w:lang w:eastAsia="zh-CN"/>
        </w:rPr>
        <w:t>,</w:t>
      </w:r>
      <w:r w:rsidRPr="005F78EE">
        <w:rPr>
          <w:rFonts w:ascii="Arial" w:eastAsia="MS Mincho" w:hAnsi="Arial" w:cs="Arial"/>
          <w:lang w:eastAsia="en-US"/>
        </w:rPr>
        <w:t xml:space="preserve"> PO</w:t>
      </w:r>
      <w:r w:rsidRPr="005F78EE">
        <w:rPr>
          <w:rFonts w:ascii="Arial" w:eastAsia="MS Mincho" w:hAnsi="Arial" w:cs="Arial"/>
          <w:lang w:eastAsia="zh-CN"/>
        </w:rPr>
        <w:t>, and PNB</w:t>
      </w:r>
      <w:r w:rsidRPr="005F78EE">
        <w:rPr>
          <w:rFonts w:ascii="Arial" w:eastAsia="MS Mincho" w:hAnsi="Arial" w:cs="Arial"/>
          <w:lang w:eastAsia="en-US"/>
        </w:rPr>
        <w:t xml:space="preserve"> </w:t>
      </w:r>
      <w:r w:rsidRPr="005F78EE">
        <w:rPr>
          <w:rFonts w:ascii="Arial" w:eastAsia="MS Mincho" w:hAnsi="Arial" w:cs="Arial"/>
          <w:lang w:eastAsia="zh-CN"/>
        </w:rPr>
        <w:t>are</w:t>
      </w:r>
      <w:r w:rsidRPr="005F78EE">
        <w:rPr>
          <w:rFonts w:ascii="Arial" w:eastAsia="MS Mincho" w:hAnsi="Arial" w:cs="Arial"/>
          <w:lang w:eastAsia="en-US"/>
        </w:rPr>
        <w:t xml:space="preserve"> determined by </w:t>
      </w:r>
      <w:r w:rsidR="008F5293" w:rsidRPr="008F5293">
        <w:rPr>
          <w:rFonts w:ascii="Arial" w:eastAsia="MS Mincho" w:hAnsi="Arial" w:cs="Arial"/>
          <w:lang w:eastAsia="en-US"/>
        </w:rPr>
        <w:t xml:space="preserve">the </w:t>
      </w:r>
      <w:r w:rsidRPr="005F78EE">
        <w:rPr>
          <w:rFonts w:ascii="Arial" w:eastAsia="MS Mincho" w:hAnsi="Arial" w:cs="Arial"/>
          <w:lang w:eastAsia="en-US"/>
        </w:rPr>
        <w:t>following formulae using the DRX parameters provided in System Information</w:t>
      </w:r>
      <w:r w:rsidR="00BF3C4B">
        <w:rPr>
          <w:rFonts w:ascii="Arial" w:eastAsia="MS Mincho" w:hAnsi="Arial" w:cs="Arial"/>
          <w:lang w:eastAsia="en-US"/>
        </w:rPr>
        <w:t xml:space="preserve"> [2]</w:t>
      </w:r>
      <w:r w:rsidRPr="005F78EE">
        <w:rPr>
          <w:rFonts w:ascii="Arial" w:eastAsia="MS Mincho" w:hAnsi="Arial" w:cs="Arial"/>
          <w:lang w:eastAsia="en-US"/>
        </w:rPr>
        <w:t>:</w:t>
      </w:r>
    </w:p>
    <w:p w14:paraId="4594CC65" w14:textId="7AB678B4" w:rsidR="005F78EE" w:rsidRPr="005F78EE" w:rsidRDefault="005F78EE" w:rsidP="008F5293">
      <w:pPr>
        <w:overflowPunct/>
        <w:autoSpaceDE/>
        <w:autoSpaceDN/>
        <w:adjustRightInd/>
        <w:ind w:firstLine="567"/>
        <w:textAlignment w:val="auto"/>
        <w:rPr>
          <w:rFonts w:eastAsia="MS Mincho"/>
          <w:lang w:eastAsia="en-US"/>
        </w:rPr>
      </w:pPr>
      <w:r w:rsidRPr="005F78EE">
        <w:rPr>
          <w:rFonts w:ascii="Arial" w:eastAsia="MS Mincho" w:hAnsi="Arial" w:cs="Arial"/>
          <w:lang w:eastAsia="en-US"/>
        </w:rPr>
        <w:t xml:space="preserve">PF is given by </w:t>
      </w:r>
      <w:r w:rsidR="00D65F5D">
        <w:rPr>
          <w:rFonts w:ascii="Arial" w:eastAsia="MS Mincho" w:hAnsi="Arial" w:cs="Arial"/>
          <w:lang w:eastAsia="en-US"/>
        </w:rPr>
        <w:t xml:space="preserve">the </w:t>
      </w:r>
      <w:r w:rsidRPr="005F78EE">
        <w:rPr>
          <w:rFonts w:ascii="Arial" w:eastAsia="MS Mincho" w:hAnsi="Arial" w:cs="Arial"/>
          <w:lang w:eastAsia="en-US"/>
        </w:rPr>
        <w:t>following equation:</w:t>
      </w:r>
    </w:p>
    <w:p w14:paraId="7872184D" w14:textId="77777777" w:rsidR="005F78EE" w:rsidRPr="005F78EE" w:rsidRDefault="005F78EE" w:rsidP="005F78EE">
      <w:pPr>
        <w:overflowPunct/>
        <w:autoSpaceDE/>
        <w:autoSpaceDN/>
        <w:adjustRightInd/>
        <w:ind w:left="851" w:hanging="284"/>
        <w:textAlignment w:val="auto"/>
        <w:rPr>
          <w:rFonts w:eastAsia="MS Mincho"/>
          <w:lang w:val="sv-SE" w:eastAsia="en-US"/>
        </w:rPr>
      </w:pPr>
      <w:r w:rsidRPr="005F78EE">
        <w:rPr>
          <w:rFonts w:eastAsia="MS Mincho"/>
          <w:lang w:val="sv-SE" w:eastAsia="en-US"/>
        </w:rPr>
        <w:t>SFN mod T= (T div N)*(UE_ID mod N)</w:t>
      </w:r>
    </w:p>
    <w:p w14:paraId="4C1B4B77" w14:textId="1AE95AD1" w:rsidR="005F78EE" w:rsidRPr="005F78EE" w:rsidRDefault="005F78EE" w:rsidP="008F5293">
      <w:pPr>
        <w:overflowPunct/>
        <w:autoSpaceDE/>
        <w:autoSpaceDN/>
        <w:adjustRightInd/>
        <w:ind w:left="568"/>
        <w:textAlignment w:val="auto"/>
        <w:rPr>
          <w:rFonts w:ascii="Arial" w:eastAsia="MS Mincho" w:hAnsi="Arial" w:cs="Arial"/>
          <w:lang w:eastAsia="en-US"/>
        </w:rPr>
      </w:pPr>
      <w:r w:rsidRPr="005F78EE">
        <w:rPr>
          <w:rFonts w:ascii="Arial" w:eastAsia="MS Mincho" w:hAnsi="Arial" w:cs="Arial"/>
          <w:lang w:eastAsia="en-US"/>
        </w:rPr>
        <w:t xml:space="preserve">Index i_s pointing to PO from subframe pattern defined in </w:t>
      </w:r>
      <w:r w:rsidR="008F5293">
        <w:rPr>
          <w:rFonts w:ascii="Arial" w:eastAsia="MS Mincho" w:hAnsi="Arial" w:cs="Arial"/>
          <w:lang w:eastAsia="en-US"/>
        </w:rPr>
        <w:t xml:space="preserve">subclause </w:t>
      </w:r>
      <w:r w:rsidRPr="005F78EE">
        <w:rPr>
          <w:rFonts w:ascii="Arial" w:eastAsia="MS Mincho" w:hAnsi="Arial" w:cs="Arial"/>
          <w:lang w:eastAsia="en-US"/>
        </w:rPr>
        <w:t xml:space="preserve">7.2 </w:t>
      </w:r>
      <w:r w:rsidR="008F5293">
        <w:rPr>
          <w:rFonts w:ascii="Arial" w:eastAsia="MS Mincho" w:hAnsi="Arial" w:cs="Arial"/>
          <w:lang w:eastAsia="en-US"/>
        </w:rPr>
        <w:t xml:space="preserve">is </w:t>
      </w:r>
      <w:r w:rsidRPr="005F78EE">
        <w:rPr>
          <w:rFonts w:ascii="Arial" w:eastAsia="MS Mincho" w:hAnsi="Arial" w:cs="Arial"/>
          <w:lang w:eastAsia="en-US"/>
        </w:rPr>
        <w:t xml:space="preserve">derived from </w:t>
      </w:r>
      <w:r w:rsidR="008F5293">
        <w:rPr>
          <w:rFonts w:ascii="Arial" w:eastAsia="MS Mincho" w:hAnsi="Arial" w:cs="Arial"/>
          <w:lang w:eastAsia="en-US"/>
        </w:rPr>
        <w:t xml:space="preserve">the </w:t>
      </w:r>
      <w:r w:rsidRPr="005F78EE">
        <w:rPr>
          <w:rFonts w:ascii="Arial" w:eastAsia="MS Mincho" w:hAnsi="Arial" w:cs="Arial"/>
          <w:lang w:eastAsia="en-US"/>
        </w:rPr>
        <w:t>following calculation:</w:t>
      </w:r>
    </w:p>
    <w:p w14:paraId="4E2AFA0F" w14:textId="77777777" w:rsidR="005F78EE" w:rsidRPr="005F78EE" w:rsidRDefault="005F78EE" w:rsidP="005F78EE">
      <w:pPr>
        <w:overflowPunct/>
        <w:autoSpaceDE/>
        <w:autoSpaceDN/>
        <w:adjustRightInd/>
        <w:ind w:left="851" w:hanging="284"/>
        <w:textAlignment w:val="auto"/>
        <w:rPr>
          <w:rFonts w:eastAsia="MS Mincho"/>
          <w:lang w:eastAsia="en-US"/>
        </w:rPr>
      </w:pPr>
      <w:r w:rsidRPr="005F78EE">
        <w:rPr>
          <w:rFonts w:eastAsia="MS Mincho"/>
          <w:lang w:eastAsia="en-US"/>
        </w:rPr>
        <w:t>i_s = floor(UE_ID/N) mod Ns</w:t>
      </w:r>
    </w:p>
    <w:p w14:paraId="61C7E584" w14:textId="77777777" w:rsidR="005F78EE" w:rsidRPr="005F78EE" w:rsidRDefault="005F78EE" w:rsidP="008F5293">
      <w:pPr>
        <w:overflowPunct/>
        <w:autoSpaceDE/>
        <w:autoSpaceDN/>
        <w:adjustRightInd/>
        <w:ind w:left="568"/>
        <w:textAlignment w:val="auto"/>
        <w:rPr>
          <w:rFonts w:ascii="Arial" w:eastAsia="MS Mincho" w:hAnsi="Arial" w:cs="Arial"/>
          <w:lang w:eastAsia="en-US"/>
        </w:rPr>
      </w:pPr>
      <w:r w:rsidRPr="005F78EE">
        <w:rPr>
          <w:rFonts w:ascii="Arial" w:eastAsia="MS Mincho" w:hAnsi="Arial" w:cs="Arial"/>
          <w:lang w:eastAsia="en-US"/>
        </w:rPr>
        <w:t xml:space="preserve">If P-RNTI is monitored on MPDCCH, the </w:t>
      </w:r>
      <w:r w:rsidRPr="005F78EE">
        <w:rPr>
          <w:rFonts w:ascii="Arial" w:eastAsia="MS Mincho" w:hAnsi="Arial" w:cs="Arial"/>
          <w:lang w:eastAsia="zh-CN"/>
        </w:rPr>
        <w:t xml:space="preserve">PNB </w:t>
      </w:r>
      <w:r w:rsidRPr="005F78EE">
        <w:rPr>
          <w:rFonts w:ascii="Arial" w:eastAsia="MS Mincho" w:hAnsi="Arial" w:cs="Arial"/>
          <w:lang w:eastAsia="en-US"/>
        </w:rPr>
        <w:t>is determined by the following equation:</w:t>
      </w:r>
    </w:p>
    <w:p w14:paraId="4CBCF183" w14:textId="77777777" w:rsidR="005F78EE" w:rsidRPr="005F78EE" w:rsidRDefault="005F78EE" w:rsidP="005F78EE">
      <w:pPr>
        <w:overflowPunct/>
        <w:autoSpaceDE/>
        <w:autoSpaceDN/>
        <w:adjustRightInd/>
        <w:ind w:left="851" w:hanging="284"/>
        <w:textAlignment w:val="auto"/>
        <w:rPr>
          <w:rFonts w:eastAsia="MS Mincho"/>
          <w:lang w:eastAsia="en-US"/>
        </w:rPr>
      </w:pPr>
      <w:r w:rsidRPr="005F78EE">
        <w:rPr>
          <w:rFonts w:eastAsia="MS Mincho"/>
          <w:lang w:eastAsia="en-US"/>
        </w:rPr>
        <w:t>PN</w:t>
      </w:r>
      <w:r w:rsidRPr="005F78EE">
        <w:rPr>
          <w:rFonts w:eastAsia="MS Mincho"/>
          <w:lang w:eastAsia="zh-CN"/>
        </w:rPr>
        <w:t>B</w:t>
      </w:r>
      <w:r w:rsidRPr="005F78EE">
        <w:rPr>
          <w:rFonts w:eastAsia="MS Mincho"/>
          <w:lang w:eastAsia="en-US"/>
        </w:rPr>
        <w:t xml:space="preserve"> = floor(UE_ID/(N</w:t>
      </w:r>
      <w:r w:rsidRPr="005F78EE">
        <w:rPr>
          <w:rFonts w:eastAsia="MS Mincho"/>
          <w:lang w:eastAsia="zh-CN"/>
        </w:rPr>
        <w:t>*</w:t>
      </w:r>
      <w:r w:rsidRPr="005F78EE">
        <w:rPr>
          <w:rFonts w:eastAsia="MS Mincho"/>
          <w:lang w:eastAsia="en-US"/>
        </w:rPr>
        <w:t>Ns)</w:t>
      </w:r>
      <w:r w:rsidRPr="005F78EE">
        <w:rPr>
          <w:rFonts w:eastAsia="MS Mincho"/>
          <w:lang w:eastAsia="zh-CN"/>
        </w:rPr>
        <w:t>)</w:t>
      </w:r>
      <w:r w:rsidRPr="005F78EE">
        <w:rPr>
          <w:rFonts w:eastAsia="MS Mincho"/>
          <w:lang w:eastAsia="en-US"/>
        </w:rPr>
        <w:t xml:space="preserve"> mod Nn</w:t>
      </w:r>
    </w:p>
    <w:p w14:paraId="6051A34B" w14:textId="77777777" w:rsidR="005F78EE" w:rsidRPr="005F78EE" w:rsidRDefault="005F78EE" w:rsidP="00A45FAA">
      <w:pPr>
        <w:pStyle w:val="BodyText"/>
      </w:pPr>
    </w:p>
    <w:p w14:paraId="47933A06" w14:textId="5F26D625" w:rsidR="00A45FAA" w:rsidRPr="00A45FAA" w:rsidRDefault="00A45FAA" w:rsidP="00A45FAA">
      <w:pPr>
        <w:pStyle w:val="BodyText"/>
        <w:rPr>
          <w:lang w:val="fi-FI"/>
        </w:rPr>
      </w:pPr>
      <w:r w:rsidRPr="00A45FAA">
        <w:rPr>
          <w:lang w:val="fi-FI"/>
        </w:rPr>
        <w:t>I</w:t>
      </w:r>
      <w:r w:rsidR="00D65F5D">
        <w:rPr>
          <w:lang w:val="fi-FI"/>
        </w:rPr>
        <w:t xml:space="preserve">n [1] it was </w:t>
      </w:r>
      <w:r w:rsidRPr="00A45FAA">
        <w:rPr>
          <w:lang w:val="fi-FI"/>
        </w:rPr>
        <w:t>observed that default T and T/nB should be configured such that 1 =&lt; nB</w:t>
      </w:r>
      <w:r w:rsidR="00BF3C4B">
        <w:rPr>
          <w:lang w:val="fi-FI"/>
        </w:rPr>
        <w:t xml:space="preserve"> to avoid</w:t>
      </w:r>
      <w:r w:rsidR="00DA3C85">
        <w:rPr>
          <w:lang w:val="fi-FI"/>
        </w:rPr>
        <w:t xml:space="preserve"> </w:t>
      </w:r>
      <w:r w:rsidR="00BF3C4B">
        <w:rPr>
          <w:lang w:val="fi-FI"/>
        </w:rPr>
        <w:t>ambiguity</w:t>
      </w:r>
      <w:r w:rsidR="00DA3C85">
        <w:rPr>
          <w:lang w:val="fi-FI"/>
        </w:rPr>
        <w:t xml:space="preserve"> in UE behaviour</w:t>
      </w:r>
      <w:r w:rsidRPr="00A45FAA">
        <w:rPr>
          <w:lang w:val="fi-FI"/>
        </w:rPr>
        <w:t xml:space="preserve">. </w:t>
      </w:r>
      <w:r w:rsidR="00132FDF">
        <w:rPr>
          <w:lang w:val="fi-FI"/>
        </w:rPr>
        <w:t xml:space="preserve">During the discussion in the previous meeting, </w:t>
      </w:r>
      <w:r w:rsidR="00D65F5D">
        <w:rPr>
          <w:lang w:val="fi-FI"/>
        </w:rPr>
        <w:t xml:space="preserve">RAN2 </w:t>
      </w:r>
      <w:r w:rsidRPr="00A45FAA">
        <w:rPr>
          <w:lang w:val="fi-FI"/>
        </w:rPr>
        <w:t xml:space="preserve">acknowledged that fractional nB values should not be configured by </w:t>
      </w:r>
      <w:r w:rsidR="00132FDF">
        <w:rPr>
          <w:lang w:val="fi-FI"/>
        </w:rPr>
        <w:t xml:space="preserve">the </w:t>
      </w:r>
      <w:r w:rsidRPr="00A45FAA">
        <w:rPr>
          <w:lang w:val="fi-FI"/>
        </w:rPr>
        <w:t>eNB</w:t>
      </w:r>
      <w:r w:rsidR="00D65F5D">
        <w:rPr>
          <w:lang w:val="fi-FI"/>
        </w:rPr>
        <w:t>, h</w:t>
      </w:r>
      <w:r w:rsidR="00132FDF">
        <w:rPr>
          <w:lang w:val="fi-FI"/>
        </w:rPr>
        <w:t xml:space="preserve">owever </w:t>
      </w:r>
      <w:r w:rsidRPr="00A45FAA">
        <w:rPr>
          <w:lang w:val="fi-FI"/>
        </w:rPr>
        <w:t xml:space="preserve">UE can request UE specific DRX cycle </w:t>
      </w:r>
      <w:r w:rsidR="00E50744">
        <w:rPr>
          <w:lang w:val="fi-FI"/>
        </w:rPr>
        <w:t xml:space="preserve">from the MME </w:t>
      </w:r>
      <w:r w:rsidRPr="00A45FAA">
        <w:rPr>
          <w:lang w:val="fi-FI"/>
        </w:rPr>
        <w:t xml:space="preserve">which </w:t>
      </w:r>
      <w:r w:rsidR="00D65F5D">
        <w:rPr>
          <w:lang w:val="fi-FI"/>
        </w:rPr>
        <w:t xml:space="preserve">may </w:t>
      </w:r>
      <w:r w:rsidRPr="00A45FAA">
        <w:rPr>
          <w:lang w:val="fi-FI"/>
        </w:rPr>
        <w:t>lead to the problematic situation</w:t>
      </w:r>
      <w:r w:rsidR="00E50744">
        <w:rPr>
          <w:lang w:val="fi-FI"/>
        </w:rPr>
        <w:t xml:space="preserve"> as the value can not be configured by the eNB. As stated in subclause 5.13 in </w:t>
      </w:r>
      <w:r w:rsidR="00E50744" w:rsidRPr="00E50744">
        <w:rPr>
          <w:lang w:val="fi-FI"/>
        </w:rPr>
        <w:t>TS 23.401 on UE specific DRX cycles:</w:t>
      </w:r>
      <w:r w:rsidR="00E50744">
        <w:rPr>
          <w:lang w:val="fi-FI"/>
        </w:rPr>
        <w:t xml:space="preserve"> </w:t>
      </w:r>
      <w:r w:rsidR="00E50744" w:rsidRPr="00E50744">
        <w:rPr>
          <w:lang w:val="fi-FI"/>
        </w:rPr>
        <w:t xml:space="preserve">the UE can signal its UE </w:t>
      </w:r>
      <w:r w:rsidR="00BE6794">
        <w:rPr>
          <w:lang w:val="fi-FI"/>
        </w:rPr>
        <w:t>s</w:t>
      </w:r>
      <w:r w:rsidR="00E50744" w:rsidRPr="00E50744">
        <w:rPr>
          <w:lang w:val="fi-FI"/>
        </w:rPr>
        <w:t xml:space="preserve">pecific DRX </w:t>
      </w:r>
      <w:r w:rsidR="00E50744">
        <w:rPr>
          <w:lang w:val="fi-FI"/>
        </w:rPr>
        <w:t>p</w:t>
      </w:r>
      <w:r w:rsidR="00E50744" w:rsidRPr="00E50744">
        <w:rPr>
          <w:lang w:val="fi-FI"/>
        </w:rPr>
        <w:t>arameters to the</w:t>
      </w:r>
      <w:r w:rsidR="00E50744">
        <w:rPr>
          <w:lang w:val="fi-FI"/>
        </w:rPr>
        <w:t xml:space="preserve"> MME d</w:t>
      </w:r>
      <w:r w:rsidR="00E50744" w:rsidRPr="00E50744">
        <w:rPr>
          <w:lang w:val="fi-FI"/>
        </w:rPr>
        <w:t xml:space="preserve">uring the </w:t>
      </w:r>
      <w:r w:rsidR="00E50744">
        <w:rPr>
          <w:lang w:val="fi-FI"/>
        </w:rPr>
        <w:t>a</w:t>
      </w:r>
      <w:r w:rsidR="00E50744" w:rsidRPr="00E50744">
        <w:rPr>
          <w:lang w:val="fi-FI"/>
        </w:rPr>
        <w:t>ttach procedure</w:t>
      </w:r>
      <w:r w:rsidR="00E50744">
        <w:rPr>
          <w:lang w:val="fi-FI"/>
        </w:rPr>
        <w:t>.</w:t>
      </w:r>
      <w:r w:rsidR="00F74FC9">
        <w:rPr>
          <w:lang w:val="fi-FI"/>
        </w:rPr>
        <w:t xml:space="preserve"> </w:t>
      </w:r>
      <w:r w:rsidR="00D060F1">
        <w:rPr>
          <w:lang w:val="fi-FI"/>
        </w:rPr>
        <w:t>T</w:t>
      </w:r>
      <w:r w:rsidR="00D060F1" w:rsidRPr="00E50744">
        <w:rPr>
          <w:lang w:val="fi-FI"/>
        </w:rPr>
        <w:t>he UE may signal that it wishes to use the DRX cycle length broadcast</w:t>
      </w:r>
      <w:r w:rsidR="007A7FB4">
        <w:rPr>
          <w:lang w:val="fi-FI"/>
        </w:rPr>
        <w:t>ed</w:t>
      </w:r>
      <w:r w:rsidR="00D060F1" w:rsidRPr="00E50744">
        <w:rPr>
          <w:lang w:val="fi-FI"/>
        </w:rPr>
        <w:t xml:space="preserve"> in </w:t>
      </w:r>
      <w:r w:rsidR="00D060F1">
        <w:rPr>
          <w:lang w:val="fi-FI"/>
        </w:rPr>
        <w:t>system i</w:t>
      </w:r>
      <w:r w:rsidR="00D060F1" w:rsidRPr="00E50744">
        <w:rPr>
          <w:lang w:val="fi-FI"/>
        </w:rPr>
        <w:t>nformation</w:t>
      </w:r>
      <w:r w:rsidR="007A7FB4">
        <w:rPr>
          <w:lang w:val="fi-FI"/>
        </w:rPr>
        <w:t xml:space="preserve"> or it</w:t>
      </w:r>
      <w:r w:rsidR="00D060F1" w:rsidRPr="00E50744">
        <w:rPr>
          <w:lang w:val="fi-FI"/>
        </w:rPr>
        <w:t xml:space="preserve"> can propose a DRX cycle length for use. </w:t>
      </w:r>
      <w:r w:rsidR="007A7FB4">
        <w:rPr>
          <w:lang w:val="fi-FI"/>
        </w:rPr>
        <w:t xml:space="preserve">Note that </w:t>
      </w:r>
      <w:r w:rsidR="00D060F1" w:rsidRPr="00E50744">
        <w:rPr>
          <w:lang w:val="fi-FI"/>
        </w:rPr>
        <w:t xml:space="preserve">MME </w:t>
      </w:r>
      <w:r w:rsidR="007A7FB4">
        <w:rPr>
          <w:lang w:val="fi-FI"/>
        </w:rPr>
        <w:t xml:space="preserve">is required to </w:t>
      </w:r>
      <w:r w:rsidR="00D060F1" w:rsidRPr="00E50744">
        <w:rPr>
          <w:lang w:val="fi-FI"/>
        </w:rPr>
        <w:t>accept the value proposed by the UE.</w:t>
      </w:r>
      <w:r w:rsidR="007A7FB4">
        <w:rPr>
          <w:lang w:val="fi-FI"/>
        </w:rPr>
        <w:t xml:space="preserve"> </w:t>
      </w:r>
      <w:r w:rsidRPr="00A45FAA">
        <w:rPr>
          <w:lang w:val="fi-FI"/>
        </w:rPr>
        <w:t xml:space="preserve">Therefore a solution is needed. In NB-IoT, it is not possible for UEs to request a UE specific DRX cycle, i.e. default DRX cycle broadcasted by the network, is applied, </w:t>
      </w:r>
      <w:r w:rsidR="007A7FB4">
        <w:rPr>
          <w:lang w:val="fi-FI"/>
        </w:rPr>
        <w:t xml:space="preserve">so </w:t>
      </w:r>
      <w:r w:rsidRPr="00A45FAA">
        <w:rPr>
          <w:lang w:val="fi-FI"/>
        </w:rPr>
        <w:t xml:space="preserve">the problem can </w:t>
      </w:r>
      <w:r w:rsidR="007A7FB4">
        <w:rPr>
          <w:lang w:val="fi-FI"/>
        </w:rPr>
        <w:t xml:space="preserve">easily </w:t>
      </w:r>
      <w:r w:rsidRPr="00A45FAA">
        <w:rPr>
          <w:lang w:val="fi-FI"/>
        </w:rPr>
        <w:t xml:space="preserve">be </w:t>
      </w:r>
      <w:r w:rsidR="007A7FB4">
        <w:rPr>
          <w:lang w:val="fi-FI"/>
        </w:rPr>
        <w:t xml:space="preserve">adressed </w:t>
      </w:r>
      <w:r w:rsidRPr="00A45FAA">
        <w:rPr>
          <w:lang w:val="fi-FI"/>
        </w:rPr>
        <w:t xml:space="preserve">if </w:t>
      </w:r>
      <w:r w:rsidR="007A7FB4">
        <w:rPr>
          <w:lang w:val="fi-FI"/>
        </w:rPr>
        <w:t xml:space="preserve">the </w:t>
      </w:r>
      <w:r w:rsidRPr="00A45FAA">
        <w:rPr>
          <w:lang w:val="fi-FI"/>
        </w:rPr>
        <w:t xml:space="preserve">eNB avoids bad configuration. </w:t>
      </w:r>
    </w:p>
    <w:p w14:paraId="7625D337" w14:textId="77777777" w:rsidR="00A45FAA" w:rsidRPr="00A45FAA" w:rsidRDefault="00A45FAA" w:rsidP="00A45FAA">
      <w:pPr>
        <w:pStyle w:val="BodyText"/>
        <w:rPr>
          <w:lang w:val="fi-FI"/>
        </w:rPr>
      </w:pPr>
    </w:p>
    <w:p w14:paraId="2424D96C" w14:textId="2F587233" w:rsidR="00A45FAA" w:rsidRPr="00A45FAA" w:rsidRDefault="00A45FAA" w:rsidP="00A45FAA">
      <w:pPr>
        <w:pStyle w:val="BodyText"/>
        <w:rPr>
          <w:lang w:val="fi-FI"/>
        </w:rPr>
      </w:pPr>
      <w:r w:rsidRPr="00A45FAA">
        <w:rPr>
          <w:lang w:val="fi-FI"/>
        </w:rPr>
        <w:t xml:space="preserve">One option </w:t>
      </w:r>
      <w:r w:rsidR="00BE7929">
        <w:rPr>
          <w:lang w:val="fi-FI"/>
        </w:rPr>
        <w:t xml:space="preserve">is </w:t>
      </w:r>
      <w:r w:rsidRPr="00A45FAA">
        <w:rPr>
          <w:lang w:val="fi-FI"/>
        </w:rPr>
        <w:t xml:space="preserve">to change the UE behaviour so that </w:t>
      </w:r>
      <w:r w:rsidR="00D43D54">
        <w:rPr>
          <w:lang w:val="fi-FI"/>
        </w:rPr>
        <w:t xml:space="preserve">eMTC </w:t>
      </w:r>
      <w:r w:rsidRPr="00A45FAA">
        <w:rPr>
          <w:lang w:val="fi-FI"/>
        </w:rPr>
        <w:t>UEs would only be able to request the default DRX cycle</w:t>
      </w:r>
      <w:r w:rsidR="00F74FC9">
        <w:rPr>
          <w:lang w:val="fi-FI"/>
        </w:rPr>
        <w:t xml:space="preserve"> broadcasted in the system information or simply not request</w:t>
      </w:r>
      <w:r w:rsidR="00BE7929">
        <w:rPr>
          <w:lang w:val="fi-FI"/>
        </w:rPr>
        <w:t>ing</w:t>
      </w:r>
      <w:r w:rsidR="00F74FC9">
        <w:rPr>
          <w:lang w:val="fi-FI"/>
        </w:rPr>
        <w:t xml:space="preserve"> anything from the MME, which would then be configured with the default DRX cycle.</w:t>
      </w:r>
    </w:p>
    <w:p w14:paraId="3BE800AF" w14:textId="2F170E90" w:rsidR="00A45FAA" w:rsidRPr="00A45FAA" w:rsidRDefault="00F74FC9" w:rsidP="00A45FAA">
      <w:pPr>
        <w:pStyle w:val="BodyText"/>
        <w:rPr>
          <w:lang w:val="fi-FI"/>
        </w:rPr>
      </w:pPr>
      <w:r>
        <w:rPr>
          <w:lang w:val="fi-FI"/>
        </w:rPr>
        <w:t>Another option is an hybrid solution proposed in [1]</w:t>
      </w:r>
      <w:r w:rsidR="00843873">
        <w:rPr>
          <w:lang w:val="fi-FI"/>
        </w:rPr>
        <w:t xml:space="preserve">; </w:t>
      </w:r>
      <w:r w:rsidR="00843873" w:rsidRPr="00D2264F">
        <w:rPr>
          <w:rFonts w:eastAsia="Calibri"/>
          <w:lang w:val="en-CA"/>
        </w:rPr>
        <w:t>“</w:t>
      </w:r>
      <w:r w:rsidR="000F26CA">
        <w:rPr>
          <w:rFonts w:eastAsia="Calibri"/>
          <w:lang w:val="en-CA"/>
        </w:rPr>
        <w:t>T</w:t>
      </w:r>
      <w:r w:rsidR="00843873" w:rsidRPr="00D2264F">
        <w:rPr>
          <w:rFonts w:eastAsia="Calibri"/>
          <w:lang w:val="en-CA"/>
        </w:rPr>
        <w:t xml:space="preserve">he UE updates its specific DRX cycle when changing </w:t>
      </w:r>
      <w:r w:rsidR="000F26CA">
        <w:rPr>
          <w:rFonts w:eastAsia="Calibri"/>
          <w:lang w:val="en-CA"/>
        </w:rPr>
        <w:t xml:space="preserve">its </w:t>
      </w:r>
      <w:r w:rsidR="00843873" w:rsidRPr="00D2264F">
        <w:rPr>
          <w:rFonts w:eastAsia="Calibri"/>
          <w:lang w:val="en-CA"/>
        </w:rPr>
        <w:t>cove</w:t>
      </w:r>
      <w:r w:rsidR="00843873">
        <w:rPr>
          <w:rFonts w:eastAsia="Calibri"/>
          <w:lang w:val="en-CA"/>
        </w:rPr>
        <w:t>rage level.</w:t>
      </w:r>
      <w:r w:rsidR="00BE7929">
        <w:rPr>
          <w:rFonts w:eastAsia="Calibri"/>
          <w:lang w:val="en-CA"/>
        </w:rPr>
        <w:t xml:space="preserve">” But this </w:t>
      </w:r>
      <w:r w:rsidR="00843873">
        <w:rPr>
          <w:rFonts w:eastAsia="Calibri"/>
          <w:lang w:val="en-CA"/>
        </w:rPr>
        <w:t>requires a TAU</w:t>
      </w:r>
      <w:r w:rsidR="00BE7929">
        <w:rPr>
          <w:rFonts w:eastAsia="Calibri"/>
          <w:lang w:val="en-CA"/>
        </w:rPr>
        <w:t xml:space="preserve"> and </w:t>
      </w:r>
      <w:r w:rsidR="00843873" w:rsidRPr="00D2264F">
        <w:rPr>
          <w:rFonts w:eastAsia="Calibri"/>
          <w:lang w:val="en-CA"/>
        </w:rPr>
        <w:t xml:space="preserve">indicating coverage level changes to the </w:t>
      </w:r>
      <w:r w:rsidR="00843873">
        <w:rPr>
          <w:rFonts w:eastAsia="Calibri"/>
          <w:lang w:val="en-CA"/>
        </w:rPr>
        <w:t>network,</w:t>
      </w:r>
      <w:r w:rsidR="00843873" w:rsidRPr="00D2264F">
        <w:rPr>
          <w:rFonts w:eastAsia="Calibri"/>
          <w:lang w:val="en-CA"/>
        </w:rPr>
        <w:t xml:space="preserve"> which was not agreed </w:t>
      </w:r>
      <w:r w:rsidR="00843873">
        <w:rPr>
          <w:rFonts w:eastAsia="Calibri"/>
          <w:lang w:val="en-CA"/>
        </w:rPr>
        <w:t xml:space="preserve">in RAN2 when discussed previously </w:t>
      </w:r>
      <w:r w:rsidR="00843873" w:rsidRPr="00D2264F">
        <w:rPr>
          <w:rFonts w:eastAsia="Calibri"/>
          <w:lang w:val="en-CA"/>
        </w:rPr>
        <w:t xml:space="preserve">due to </w:t>
      </w:r>
      <w:r w:rsidR="00843873">
        <w:rPr>
          <w:rFonts w:eastAsia="Calibri"/>
          <w:lang w:val="en-CA"/>
        </w:rPr>
        <w:t xml:space="preserve">its impact on </w:t>
      </w:r>
      <w:r w:rsidR="00BE7929">
        <w:rPr>
          <w:rFonts w:eastAsia="Calibri"/>
          <w:lang w:val="en-CA"/>
        </w:rPr>
        <w:t xml:space="preserve">UE </w:t>
      </w:r>
      <w:r w:rsidR="00843873">
        <w:rPr>
          <w:rFonts w:eastAsia="Calibri"/>
          <w:lang w:val="en-CA"/>
        </w:rPr>
        <w:t>power consumption.</w:t>
      </w:r>
    </w:p>
    <w:p w14:paraId="619DD2CF" w14:textId="168716A4" w:rsidR="00D2264F" w:rsidRPr="00D2264F" w:rsidRDefault="00D2264F" w:rsidP="00D2264F">
      <w:pPr>
        <w:overflowPunct/>
        <w:autoSpaceDE/>
        <w:autoSpaceDN/>
        <w:adjustRightInd/>
        <w:spacing w:after="0"/>
        <w:textAlignment w:val="auto"/>
        <w:rPr>
          <w:rFonts w:ascii="Calibri" w:eastAsia="Calibri" w:hAnsi="Calibri" w:cs="Calibri"/>
          <w:sz w:val="22"/>
          <w:szCs w:val="22"/>
          <w:lang w:val="fi-FI" w:eastAsia="en-CA"/>
        </w:rPr>
      </w:pPr>
    </w:p>
    <w:p w14:paraId="4F024A97" w14:textId="22966B34" w:rsidR="0027144F" w:rsidRPr="00CE0424" w:rsidRDefault="0027144F" w:rsidP="00CE0424">
      <w:pPr>
        <w:pStyle w:val="BodyText"/>
      </w:pPr>
    </w:p>
    <w:p w14:paraId="25F45847" w14:textId="6843A0F1" w:rsidR="00287838" w:rsidRDefault="00311702" w:rsidP="00D43D54">
      <w:pPr>
        <w:pStyle w:val="Proposal"/>
      </w:pPr>
      <w:bookmarkStart w:id="2" w:name="_Ref190406817"/>
      <w:bookmarkStart w:id="3" w:name="_Toc226862296"/>
      <w:bookmarkStart w:id="4" w:name="_Toc347823621"/>
      <w:bookmarkStart w:id="5" w:name="_Toc347824073"/>
      <w:bookmarkStart w:id="6" w:name="_Toc347824246"/>
      <w:bookmarkStart w:id="7" w:name="_Toc528905425"/>
      <w:r w:rsidRPr="00A04F49">
        <w:t>A</w:t>
      </w:r>
      <w:r w:rsidR="00BE7929">
        <w:t xml:space="preserve">n </w:t>
      </w:r>
      <w:r w:rsidR="00D43D54">
        <w:t>eMTC U</w:t>
      </w:r>
      <w:r w:rsidR="00BE7929">
        <w:t xml:space="preserve">E </w:t>
      </w:r>
      <w:r w:rsidR="00D43D54">
        <w:t>shall not request a specific DRX cycle from the MME unless it is the default DRX cycle broadcasted in system information</w:t>
      </w:r>
      <w:r w:rsidR="00D43D54" w:rsidRPr="00D43D54">
        <w:t>.</w:t>
      </w:r>
      <w:bookmarkEnd w:id="2"/>
      <w:bookmarkEnd w:id="3"/>
      <w:bookmarkEnd w:id="4"/>
      <w:bookmarkEnd w:id="5"/>
      <w:bookmarkEnd w:id="6"/>
      <w:bookmarkEnd w:id="7"/>
    </w:p>
    <w:p w14:paraId="0D89BDAA" w14:textId="064DAE2B" w:rsidR="00BE7929" w:rsidRDefault="00BE7929" w:rsidP="00D43D54">
      <w:pPr>
        <w:pStyle w:val="Proposal"/>
        <w:numPr>
          <w:ilvl w:val="0"/>
          <w:numId w:val="0"/>
        </w:numPr>
      </w:pPr>
    </w:p>
    <w:p w14:paraId="7169A7BD" w14:textId="5ED766D1" w:rsidR="00C01F33" w:rsidRPr="00CE0424" w:rsidRDefault="00BE7929" w:rsidP="00D43D54">
      <w:pPr>
        <w:pStyle w:val="Heading1"/>
        <w:jc w:val="both"/>
      </w:pPr>
      <w:r>
        <w:t>3</w:t>
      </w:r>
      <w:r w:rsidR="00F12B1D">
        <w:tab/>
      </w:r>
      <w:r w:rsidR="00C01F33" w:rsidRPr="00CE0424">
        <w:t>Conclusion</w:t>
      </w:r>
    </w:p>
    <w:p w14:paraId="3E151015" w14:textId="2835076B" w:rsidR="006E1C82" w:rsidRDefault="008E065E" w:rsidP="00D43D54">
      <w:pPr>
        <w:pStyle w:val="BodyText"/>
      </w:pPr>
      <w:r w:rsidRPr="00CE0424">
        <w:t xml:space="preserve">Based on the discussion in </w:t>
      </w:r>
      <w:r w:rsidR="007729A2">
        <w:t xml:space="preserve">the </w:t>
      </w:r>
      <w:r w:rsidRPr="00CE0424">
        <w:t>section</w:t>
      </w:r>
      <w:r w:rsidR="00861AE6">
        <w:t xml:space="preserve"> above, </w:t>
      </w:r>
      <w:r w:rsidRPr="00CE0424">
        <w:t>we propose the following:</w:t>
      </w:r>
    </w:p>
    <w:p w14:paraId="4FBC3EA4" w14:textId="5C81A106" w:rsidR="00D43D54" w:rsidRDefault="006E1C82" w:rsidP="00D43D5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CA" w:eastAsia="en-CA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05425" w:history="1">
        <w:r w:rsidR="00D43D54" w:rsidRPr="0082223D">
          <w:rPr>
            <w:rStyle w:val="Hyperlink"/>
            <w:noProof/>
          </w:rPr>
          <w:t>Proposal 1</w:t>
        </w:r>
        <w:r w:rsidR="00D43D5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CA" w:eastAsia="en-CA"/>
          </w:rPr>
          <w:tab/>
        </w:r>
        <w:r w:rsidR="00D43D54" w:rsidRPr="0082223D">
          <w:rPr>
            <w:rStyle w:val="Hyperlink"/>
            <w:noProof/>
          </w:rPr>
          <w:t>An eMTC UE shall not request a specific DRX cycle from the MME unless it is the default DRX cycle broadcasted in system information.</w:t>
        </w:r>
      </w:hyperlink>
    </w:p>
    <w:p w14:paraId="0A8F66DD" w14:textId="6A90CAAD" w:rsidR="006E1C82" w:rsidRPr="00CE0424" w:rsidRDefault="006E1C82" w:rsidP="00D43D5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A69F1AB" w14:textId="77777777" w:rsidR="008E065E" w:rsidRPr="00CE0424" w:rsidRDefault="008E065E" w:rsidP="008E065E">
      <w:pPr>
        <w:rPr>
          <w:b/>
          <w:bCs/>
        </w:rPr>
      </w:pPr>
    </w:p>
    <w:p w14:paraId="62B5C72B" w14:textId="2321220E" w:rsidR="00F507D1" w:rsidRPr="00CE0424" w:rsidRDefault="00BE7929" w:rsidP="00CE0424">
      <w:pPr>
        <w:pStyle w:val="Heading1"/>
      </w:pPr>
      <w:bookmarkStart w:id="8" w:name="_In-sequence_SDU_delivery"/>
      <w:bookmarkEnd w:id="8"/>
      <w:r>
        <w:t>4</w:t>
      </w:r>
      <w:r w:rsidR="00F12B1D">
        <w:tab/>
      </w:r>
      <w:r w:rsidR="00F507D1" w:rsidRPr="00CE0424">
        <w:t>References</w:t>
      </w:r>
    </w:p>
    <w:bookmarkStart w:id="9" w:name="_Ref174151459"/>
    <w:bookmarkStart w:id="10" w:name="_Ref189809556"/>
    <w:p w14:paraId="7F566657" w14:textId="43CD22BE" w:rsidR="001439ED" w:rsidRDefault="001439ED" w:rsidP="00311702">
      <w:pPr>
        <w:pStyle w:val="Reference"/>
      </w:pPr>
      <w:r w:rsidRPr="00D2264F">
        <w:rPr>
          <w:rFonts w:eastAsia="Calibri" w:cs="Arial"/>
          <w:lang w:val="fi-FI" w:eastAsia="en-CA"/>
        </w:rPr>
        <w:fldChar w:fldCharType="begin"/>
      </w:r>
      <w:r w:rsidRPr="00D2264F">
        <w:rPr>
          <w:rFonts w:eastAsia="Calibri" w:cs="Arial"/>
          <w:lang w:val="fi-FI" w:eastAsia="en-CA"/>
        </w:rPr>
        <w:instrText xml:space="preserve"> HYPERLINK "http://ftp.3gpp.org/tsg_ran/WG2_RL2/TSGR2_103bis/Docs/R2-1815084.zip" </w:instrText>
      </w:r>
      <w:r w:rsidRPr="00D2264F">
        <w:rPr>
          <w:rFonts w:eastAsia="Calibri" w:cs="Arial"/>
          <w:lang w:val="fi-FI" w:eastAsia="en-CA"/>
        </w:rPr>
        <w:fldChar w:fldCharType="separate"/>
      </w:r>
      <w:r w:rsidRPr="00D2264F">
        <w:rPr>
          <w:rFonts w:eastAsia="Calibri" w:cs="Arial"/>
          <w:color w:val="0000FF"/>
          <w:u w:val="single"/>
          <w:lang w:eastAsia="en-CA"/>
        </w:rPr>
        <w:t>R2-1815084</w:t>
      </w:r>
      <w:r w:rsidRPr="00D2264F">
        <w:rPr>
          <w:rFonts w:eastAsia="Calibri" w:cs="Arial"/>
          <w:lang w:val="fi-FI" w:eastAsia="en-CA"/>
        </w:rPr>
        <w:fldChar w:fldCharType="end"/>
      </w:r>
      <w:r w:rsidRPr="00D2264F">
        <w:rPr>
          <w:rFonts w:eastAsia="Calibri" w:cs="Arial"/>
          <w:lang w:eastAsia="en-CA"/>
        </w:rPr>
        <w:t>    Paging with fractional nB value      Sequans Com</w:t>
      </w:r>
      <w:r>
        <w:rPr>
          <w:rFonts w:eastAsia="Calibri" w:cs="Arial"/>
          <w:lang w:eastAsia="en-CA"/>
        </w:rPr>
        <w:t xml:space="preserve">munications         RAN2#103bis </w:t>
      </w:r>
      <w:r w:rsidR="00A45FAA">
        <w:rPr>
          <w:rFonts w:eastAsia="Calibri" w:cs="Arial"/>
          <w:lang w:eastAsia="en-CA"/>
        </w:rPr>
        <w:t>8-12 October 2018, Chengdu, China</w:t>
      </w:r>
    </w:p>
    <w:p w14:paraId="6A06F2F9" w14:textId="7166D580" w:rsidR="00BF3C4B" w:rsidRDefault="00BF3C4B" w:rsidP="00BF3C4B">
      <w:pPr>
        <w:pStyle w:val="Reference"/>
      </w:pPr>
      <w:r>
        <w:t>TS 36.304, “</w:t>
      </w:r>
      <w:r w:rsidRPr="00BF3C4B">
        <w:t>Evolved Universal Terrestrial Radio Access (E-UTRA); User Equipment (UE) procedures in idle mode</w:t>
      </w:r>
      <w:r>
        <w:t>”, 15.1.0, Sep 2018.</w:t>
      </w:r>
    </w:p>
    <w:p w14:paraId="11197388" w14:textId="79320EC1" w:rsidR="00D43D54" w:rsidRDefault="00D43D54" w:rsidP="00D43D54">
      <w:pPr>
        <w:pStyle w:val="Reference"/>
      </w:pPr>
      <w:r>
        <w:t>TS 23.401, “</w:t>
      </w:r>
      <w:r w:rsidRPr="00D43D54">
        <w:t>General Packet Radio Service (GPRS) enhancements for Evolved Universal Terrestrial Radio Access Network (E-UTRAN) access</w:t>
      </w:r>
      <w:r w:rsidR="00861AE6">
        <w:t>”, 16.0.0, Sep 2018.</w:t>
      </w:r>
    </w:p>
    <w:bookmarkEnd w:id="9"/>
    <w:bookmarkEnd w:id="10"/>
    <w:p w14:paraId="25F28FD2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ACE6D" w14:textId="77777777" w:rsidR="00DA268A" w:rsidRDefault="00DA268A">
      <w:r>
        <w:separator/>
      </w:r>
    </w:p>
  </w:endnote>
  <w:endnote w:type="continuationSeparator" w:id="0">
    <w:p w14:paraId="69416A63" w14:textId="77777777" w:rsidR="00DA268A" w:rsidRDefault="00DA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EFA9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5D6A5" w14:textId="77777777" w:rsidR="00DA268A" w:rsidRDefault="00DA268A">
      <w:r>
        <w:separator/>
      </w:r>
    </w:p>
  </w:footnote>
  <w:footnote w:type="continuationSeparator" w:id="0">
    <w:p w14:paraId="77793C8E" w14:textId="77777777" w:rsidR="00DA268A" w:rsidRDefault="00DA2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2C4E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A850BE"/>
    <w:multiLevelType w:val="hybridMultilevel"/>
    <w:tmpl w:val="3DF8D4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FC794F"/>
    <w:multiLevelType w:val="hybridMultilevel"/>
    <w:tmpl w:val="5BD0A4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A53D6"/>
    <w:multiLevelType w:val="hybridMultilevel"/>
    <w:tmpl w:val="34D07FD6"/>
    <w:lvl w:ilvl="0" w:tplc="D35AB06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3"/>
  </w:num>
  <w:num w:numId="5">
    <w:abstractNumId w:val="8"/>
  </w:num>
  <w:num w:numId="6">
    <w:abstractNumId w:val="16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B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6CA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2FDF"/>
    <w:rsid w:val="001344C0"/>
    <w:rsid w:val="001346FA"/>
    <w:rsid w:val="00135252"/>
    <w:rsid w:val="00137AB5"/>
    <w:rsid w:val="00137F0B"/>
    <w:rsid w:val="001439ED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1C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6D6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5F78EE"/>
    <w:rsid w:val="0060283C"/>
    <w:rsid w:val="00604F14"/>
    <w:rsid w:val="00611B83"/>
    <w:rsid w:val="00613257"/>
    <w:rsid w:val="00620A71"/>
    <w:rsid w:val="00620D80"/>
    <w:rsid w:val="006234A6"/>
    <w:rsid w:val="006255E7"/>
    <w:rsid w:val="00627D3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9BA"/>
    <w:rsid w:val="007A43A6"/>
    <w:rsid w:val="007A58A6"/>
    <w:rsid w:val="007A7FB4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873"/>
    <w:rsid w:val="008444E8"/>
    <w:rsid w:val="00844E80"/>
    <w:rsid w:val="00846FE7"/>
    <w:rsid w:val="00856911"/>
    <w:rsid w:val="00861AE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29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5FA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794"/>
    <w:rsid w:val="00BE7406"/>
    <w:rsid w:val="00BE7603"/>
    <w:rsid w:val="00BE7929"/>
    <w:rsid w:val="00BF3279"/>
    <w:rsid w:val="00BF3C4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47DB7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0F1"/>
    <w:rsid w:val="00D10249"/>
    <w:rsid w:val="00D115C3"/>
    <w:rsid w:val="00D11897"/>
    <w:rsid w:val="00D13135"/>
    <w:rsid w:val="00D13E4E"/>
    <w:rsid w:val="00D2264F"/>
    <w:rsid w:val="00D239A7"/>
    <w:rsid w:val="00D23F47"/>
    <w:rsid w:val="00D36E71"/>
    <w:rsid w:val="00D37D87"/>
    <w:rsid w:val="00D40B33"/>
    <w:rsid w:val="00D4318F"/>
    <w:rsid w:val="00D438BF"/>
    <w:rsid w:val="00D43D54"/>
    <w:rsid w:val="00D440F8"/>
    <w:rsid w:val="00D546FF"/>
    <w:rsid w:val="00D55AD5"/>
    <w:rsid w:val="00D576CA"/>
    <w:rsid w:val="00D61AF5"/>
    <w:rsid w:val="00D652B5"/>
    <w:rsid w:val="00D65F5D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68A"/>
    <w:rsid w:val="00DA305E"/>
    <w:rsid w:val="00DA3C85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744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B1D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4FC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B05552"/>
  <w15:chartTrackingRefBased/>
  <w15:docId w15:val="{85871958-43B3-48DD-8BD4-E324C464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mryav\Desktop\Desktop%20-%20Temp\RAN2%23104%20-%20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DD4AF-B428-4262-B559-9C5A0925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139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 A. Yavuz</dc:creator>
  <cp:keywords>3GPP; Ericsson; TDoc</cp:keywords>
  <dc:description/>
  <cp:lastModifiedBy>Emre Yavuz</cp:lastModifiedBy>
  <cp:revision>10</cp:revision>
  <cp:lastPrinted>2008-01-31T07:09:00Z</cp:lastPrinted>
  <dcterms:created xsi:type="dcterms:W3CDTF">2018-11-02T03:31:00Z</dcterms:created>
  <dcterms:modified xsi:type="dcterms:W3CDTF">2018-11-02T06:06:00Z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